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4.jpeg" ContentType="image/jpeg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9.jpeg" ContentType="image/jpeg"/>
  <Override PartName="/word/media/image11.jpeg" ContentType="image/jpeg"/>
  <Override PartName="/word/media/image7.jpeg" ContentType="image/jpeg"/>
  <Override PartName="/word/media/image12.jpeg" ContentType="image/jpeg"/>
  <Override PartName="/word/media/image10.jpeg" ContentType="image/jpeg"/>
  <Override PartName="/word/media/image8.jpeg" ContentType="image/jpeg"/>
  <Override PartName="/word/media/image13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Brush Script MT" w:hAnsi="Brush Script MT" w:cs="Tahoma"/>
          <w:b/>
          <w:b/>
          <w:i/>
          <w:i/>
          <w:sz w:val="56"/>
          <w:szCs w:val="56"/>
          <w:lang w:val="en-US"/>
        </w:rPr>
      </w:pPr>
      <w:r>
        <w:rPr>
          <w:rFonts w:cs="Tahoma" w:ascii="Tahoma" w:hAnsi="Tahoma"/>
          <w:b/>
          <w:i/>
          <w:sz w:val="56"/>
          <w:szCs w:val="56"/>
          <w:lang w:val="en-US"/>
        </w:rPr>
        <w:t>Технически</w:t>
      </w:r>
      <w:r>
        <w:rPr>
          <w:rFonts w:cs="Tahoma" w:ascii="Brush Script MT" w:hAnsi="Brush Script MT"/>
          <w:b/>
          <w:i/>
          <w:sz w:val="56"/>
          <w:szCs w:val="56"/>
          <w:lang w:val="en-US"/>
        </w:rPr>
        <w:t xml:space="preserve"> </w:t>
      </w:r>
      <w:r>
        <w:rPr>
          <w:rFonts w:cs="Tahoma" w:ascii="Tahoma" w:hAnsi="Tahoma"/>
          <w:b/>
          <w:i/>
          <w:sz w:val="56"/>
          <w:szCs w:val="56"/>
          <w:lang w:val="en-US"/>
        </w:rPr>
        <w:t>Университет</w:t>
      </w:r>
      <w:r>
        <w:rPr>
          <w:rFonts w:cs="Tahoma" w:ascii="Brush Script MT" w:hAnsi="Brush Script MT"/>
          <w:b/>
          <w:i/>
          <w:sz w:val="56"/>
          <w:szCs w:val="56"/>
          <w:lang w:val="en-US"/>
        </w:rPr>
        <w:t xml:space="preserve"> </w:t>
        <w:br/>
      </w:r>
      <w:r>
        <w:rPr>
          <w:rFonts w:cs="Tahoma" w:ascii="Tahoma" w:hAnsi="Tahoma"/>
          <w:b/>
          <w:i/>
          <w:sz w:val="56"/>
          <w:szCs w:val="56"/>
          <w:lang w:val="en-US"/>
        </w:rPr>
        <w:t>София</w:t>
      </w:r>
    </w:p>
    <w:p>
      <w:pPr>
        <w:pStyle w:val="Normal"/>
        <w:jc w:val="center"/>
        <w:rPr>
          <w:rFonts w:ascii="Tahoma" w:hAnsi="Tahoma" w:cs="Tahoma"/>
          <w:sz w:val="56"/>
          <w:szCs w:val="56"/>
          <w:lang w:val="en-US"/>
        </w:rPr>
      </w:pPr>
      <w:r>
        <w:rPr>
          <w:rFonts w:cs="Tahoma" w:ascii="Tahoma" w:hAnsi="Tahoma"/>
          <w:sz w:val="56"/>
          <w:szCs w:val="56"/>
          <w:lang w:val="en-US"/>
        </w:rPr>
      </w:r>
    </w:p>
    <w:p>
      <w:pPr>
        <w:pStyle w:val="Normal"/>
        <w:jc w:val="center"/>
        <w:rPr>
          <w:rFonts w:ascii="Tahoma" w:hAnsi="Tahoma" w:cs="Tahoma"/>
          <w:sz w:val="56"/>
          <w:szCs w:val="56"/>
          <w:lang w:val="en-US"/>
        </w:rPr>
      </w:pPr>
      <w:r>
        <w:rPr>
          <w:rFonts w:cs="Tahoma" w:ascii="Tahoma" w:hAnsi="Tahoma"/>
          <w:sz w:val="56"/>
          <w:szCs w:val="56"/>
          <w:lang w:val="en-US"/>
        </w:rPr>
      </w:r>
    </w:p>
    <w:p>
      <w:pPr>
        <w:pStyle w:val="Normal"/>
        <w:jc w:val="center"/>
        <w:rPr>
          <w:rFonts w:ascii="Tahoma" w:hAnsi="Tahoma" w:cs="Tahoma"/>
          <w:sz w:val="56"/>
          <w:szCs w:val="56"/>
          <w:lang w:val="en-US"/>
        </w:rPr>
      </w:pPr>
      <w:r>
        <w:rPr>
          <w:rFonts w:cs="Tahoma" w:ascii="Tahoma" w:hAnsi="Tahoma"/>
          <w:sz w:val="56"/>
          <w:szCs w:val="56"/>
          <w:lang w:val="en-US"/>
        </w:rPr>
      </w:r>
    </w:p>
    <w:p>
      <w:pPr>
        <w:pStyle w:val="Normal"/>
        <w:jc w:val="center"/>
        <w:rPr>
          <w:rFonts w:ascii="Tahoma" w:hAnsi="Tahoma" w:cs="Tahoma"/>
          <w:sz w:val="56"/>
          <w:szCs w:val="56"/>
        </w:rPr>
      </w:pPr>
      <w:r>
        <w:rPr>
          <w:rFonts w:cs="Tahoma" w:ascii="Tahoma" w:hAnsi="Tahoma"/>
          <w:sz w:val="56"/>
          <w:szCs w:val="56"/>
          <w:lang w:val="en-US"/>
        </w:rPr>
        <w:t xml:space="preserve">Домашна работа по МВЕУ           № </w:t>
      </w:r>
      <w:r>
        <w:rPr>
          <w:rFonts w:cs="Tahoma" w:ascii="Tahoma" w:hAnsi="Tahoma"/>
          <w:sz w:val="56"/>
          <w:szCs w:val="56"/>
        </w:rPr>
        <w:t>2</w:t>
      </w:r>
    </w:p>
    <w:p>
      <w:pPr>
        <w:pStyle w:val="Normal"/>
        <w:jc w:val="center"/>
        <w:rPr>
          <w:rFonts w:ascii="Tahoma" w:hAnsi="Tahoma" w:cs="Tahoma"/>
          <w:sz w:val="56"/>
          <w:szCs w:val="56"/>
          <w:lang w:val="en-US"/>
        </w:rPr>
      </w:pPr>
      <w:r>
        <w:rPr>
          <w:rFonts w:cs="Tahoma" w:ascii="Tahoma" w:hAnsi="Tahoma"/>
          <w:sz w:val="56"/>
          <w:szCs w:val="56"/>
          <w:lang w:val="en-US"/>
        </w:rPr>
      </w:r>
    </w:p>
    <w:p>
      <w:pPr>
        <w:pStyle w:val="Normal"/>
        <w:spacing w:before="0" w:after="0"/>
        <w:jc w:val="center"/>
        <w:rPr>
          <w:rFonts w:ascii="Tahoma" w:hAnsi="Tahoma" w:cs="Tahoma"/>
          <w:sz w:val="40"/>
          <w:szCs w:val="40"/>
          <w:lang w:val="en-US"/>
        </w:rPr>
      </w:pPr>
      <w:r>
        <w:rPr>
          <w:rFonts w:cs="Tahoma" w:ascii="Tahoma" w:hAnsi="Tahoma"/>
          <w:sz w:val="40"/>
          <w:szCs w:val="40"/>
          <w:lang w:val="en-US"/>
        </w:rPr>
        <w:t>Тема :</w:t>
      </w:r>
    </w:p>
    <w:p>
      <w:pPr>
        <w:pStyle w:val="Normal"/>
        <w:spacing w:lineRule="auto" w:line="240" w:before="0" w:after="0"/>
        <w:jc w:val="center"/>
        <w:rPr>
          <w:rFonts w:ascii="Tahoma" w:hAnsi="Tahoma" w:cs="Tahoma"/>
          <w:sz w:val="44"/>
          <w:szCs w:val="44"/>
          <w:lang w:val="en-US"/>
        </w:rPr>
      </w:pPr>
      <w:r>
        <w:rPr>
          <w:rFonts w:cs="Tahoma" w:ascii="Tahoma" w:hAnsi="Tahoma"/>
          <w:sz w:val="44"/>
          <w:szCs w:val="44"/>
        </w:rPr>
        <w:t>Микролентова линия.Затихване. Максимални честоти на използване.</w:t>
      </w:r>
    </w:p>
    <w:p>
      <w:pPr>
        <w:pStyle w:val="Normal"/>
        <w:jc w:val="center"/>
        <w:rPr>
          <w:rFonts w:ascii="Tahoma" w:hAnsi="Tahoma" w:cs="Tahoma"/>
          <w:sz w:val="56"/>
          <w:szCs w:val="56"/>
          <w:lang w:val="en-US"/>
        </w:rPr>
      </w:pPr>
      <w:r>
        <w:rPr>
          <w:rFonts w:cs="Tahoma" w:ascii="Tahoma" w:hAnsi="Tahoma"/>
          <w:sz w:val="56"/>
          <w:szCs w:val="56"/>
          <w:lang w:val="en-US"/>
        </w:rPr>
      </w:r>
    </w:p>
    <w:p>
      <w:pPr>
        <w:pStyle w:val="Normal"/>
        <w:jc w:val="center"/>
        <w:rPr>
          <w:rFonts w:ascii="Tahoma" w:hAnsi="Tahoma" w:cs="Tahoma"/>
          <w:sz w:val="56"/>
          <w:szCs w:val="56"/>
          <w:lang w:val="en-US"/>
        </w:rPr>
      </w:pPr>
      <w:r>
        <w:rPr>
          <w:rFonts w:cs="Tahoma" w:ascii="Tahoma" w:hAnsi="Tahoma"/>
          <w:sz w:val="56"/>
          <w:szCs w:val="56"/>
          <w:lang w:val="en-US"/>
        </w:rPr>
      </w:r>
    </w:p>
    <w:p>
      <w:pPr>
        <w:pStyle w:val="Normal"/>
        <w:jc w:val="center"/>
        <w:rPr>
          <w:rFonts w:ascii="Tahoma" w:hAnsi="Tahoma" w:cs="Tahoma"/>
          <w:sz w:val="56"/>
          <w:szCs w:val="56"/>
          <w:lang w:val="en-US"/>
        </w:rPr>
      </w:pPr>
      <w:r>
        <w:rPr>
          <w:rFonts w:cs="Tahoma" w:ascii="Tahoma" w:hAnsi="Tahoma"/>
          <w:sz w:val="56"/>
          <w:szCs w:val="56"/>
          <w:lang w:val="en-US"/>
        </w:rPr>
      </w:r>
    </w:p>
    <w:p>
      <w:pPr>
        <w:pStyle w:val="Normal"/>
        <w:jc w:val="right"/>
        <w:rPr>
          <w:rFonts w:ascii="Tahoma" w:hAnsi="Tahoma" w:cs="Tahoma"/>
          <w:sz w:val="24"/>
          <w:szCs w:val="24"/>
          <w:lang w:val="en-US"/>
        </w:rPr>
      </w:pPr>
      <w:r>
        <w:rPr>
          <w:rFonts w:cs="Tahoma" w:ascii="Tahoma" w:hAnsi="Tahoma"/>
          <w:sz w:val="24"/>
          <w:szCs w:val="24"/>
          <w:lang w:val="en-US"/>
        </w:rPr>
      </w:r>
    </w:p>
    <w:p>
      <w:pPr>
        <w:pStyle w:val="Normal"/>
        <w:spacing w:before="0" w:after="0"/>
        <w:rPr>
          <w:rFonts w:ascii="Tahoma" w:hAnsi="Tahoma" w:cs="Tahoma"/>
          <w:sz w:val="24"/>
          <w:szCs w:val="24"/>
          <w:lang w:val="en-US"/>
        </w:rPr>
      </w:pPr>
      <w:r>
        <w:rPr>
          <w:rFonts w:cs="Tahoma" w:ascii="Tahoma" w:hAnsi="Tahoma"/>
          <w:sz w:val="24"/>
          <w:szCs w:val="24"/>
          <w:lang w:val="en-US"/>
        </w:rPr>
        <w:t>Проверил:                                                               Изготвил:</w:t>
      </w:r>
    </w:p>
    <w:p>
      <w:pPr>
        <w:pStyle w:val="Normal"/>
        <w:spacing w:before="0" w:after="0"/>
        <w:rPr>
          <w:rFonts w:ascii="Tahoma" w:hAnsi="Tahoma" w:cs="Tahoma"/>
          <w:sz w:val="24"/>
          <w:szCs w:val="24"/>
          <w:lang w:val="en-US"/>
        </w:rPr>
      </w:pPr>
      <w:r>
        <w:rPr>
          <w:rFonts w:cs="Tahoma" w:ascii="Tahoma" w:hAnsi="Tahoma"/>
          <w:sz w:val="24"/>
          <w:szCs w:val="24"/>
          <w:lang w:val="en-US"/>
        </w:rPr>
        <w:t xml:space="preserve"> </w:t>
      </w:r>
      <w:r>
        <w:rPr>
          <w:rFonts w:cs="Tahoma" w:ascii="Tahoma" w:hAnsi="Tahoma"/>
          <w:sz w:val="24"/>
          <w:szCs w:val="24"/>
          <w:lang w:val="en-US"/>
        </w:rPr>
        <w:t>гл. ас. д-р. Марин Неделчев                                    Деян М. Грозев</w:t>
        <w:br/>
        <w:t xml:space="preserve">                                                                               ФКТ, гр.48, ф.№ 111207198</w:t>
      </w:r>
    </w:p>
    <w:p>
      <w:pPr>
        <w:pStyle w:val="Normal"/>
        <w:spacing w:before="0" w:after="0"/>
        <w:rPr>
          <w:rFonts w:ascii="Tahoma" w:hAnsi="Tahoma" w:cs="Tahoma"/>
          <w:sz w:val="24"/>
          <w:szCs w:val="24"/>
          <w:lang w:val="en-US"/>
        </w:rPr>
      </w:pPr>
      <w:r>
        <w:rPr>
          <w:rFonts w:cs="Tahoma" w:ascii="Tahoma" w:hAnsi="Tahoma"/>
          <w:sz w:val="24"/>
          <w:szCs w:val="24"/>
          <w:lang w:val="en-US"/>
        </w:rPr>
        <w:t>подпис/……………………./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</w:rPr>
      </w:pPr>
      <w:r>
        <w:rPr>
          <w:rFonts w:cs="Tahoma" w:ascii="Tahoma" w:hAnsi="Tahoma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</w:rPr>
        <w:t>Микролентовата линия е отворен тип предавателна линия, която се състои от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диелектрична подложка с метализация от двете страни.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/>
        <w:drawing>
          <wp:inline distT="0" distB="0" distL="0" distR="0">
            <wp:extent cx="5226050" cy="1314450"/>
            <wp:effectExtent l="0" t="0" r="0" b="0"/>
            <wp:docPr id="1" name="Picture 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2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</w:rPr>
      </w:pP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Долният метализиран слой е на маса, а върху горния метализиран слой е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топологията на схемата. Диелектричната подложка осигурява механичната якост и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позволява точното позициониране на топологията и елементите.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Характеристиките на предавателната линия като фазова константа,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характеристичен импеданс могат да се определят от диелектричната проницаемост на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 xml:space="preserve">подложката </w:t>
      </w:r>
      <w:r>
        <w:rPr>
          <w:rFonts w:cs="Tahoma" w:ascii="Tahoma" w:hAnsi="Tahoma"/>
          <w:i/>
          <w:iCs/>
          <w:sz w:val="28"/>
          <w:szCs w:val="28"/>
          <w:lang w:val="en-US"/>
        </w:rPr>
        <w:t>e</w:t>
      </w:r>
      <w:r>
        <w:rPr>
          <w:rFonts w:cs="Tahoma" w:ascii="Tahoma" w:hAnsi="Tahoma"/>
          <w:i/>
          <w:iCs/>
          <w:sz w:val="28"/>
          <w:szCs w:val="28"/>
          <w:vertAlign w:val="subscript"/>
          <w:lang w:val="en-US"/>
        </w:rPr>
        <w:t>r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и геометричните размери на микролентовата линия (ширина w,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дебелина t, височина на подложката h).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Различните видове микролентови линии лесно и точно могат да се произвеждат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чрез обикновено ецване на металното фолио.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Микролентовата линия е една от най-широко разпространените предавателни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линии за маломощни приложения, както и за направата на хибридни и микровълнови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интегрални схеми. Микролентовата линия лесно се прилага в различни устройства с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активни елементи (диоди и транзистори), диелектрични резонатори и антени. Удобно е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използването на корпусирани интегрални схеми и SMD елементи. В сравнение с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традиционните тежки и обемни метални вълноводи и коаксиални линии, планарните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микролентови структури са малки по размери, леки и евтини и лесни за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производство.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Диелектричната подложка и нейните параметри влияят директно върху всички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характеристики на микролентовите структури. Различните материали за подложки имат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характеристики, които ги правят подходящи за различни приложения. Например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материали с висока диелектрична проницаемост са предпочитани за по-компактни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 xml:space="preserve">микролентови устройства, докато материали с ниско </w:t>
      </w:r>
      <w:r>
        <w:rPr>
          <w:rFonts w:cs="Tahoma" w:ascii="Tahoma" w:hAnsi="Tahoma"/>
          <w:i/>
          <w:iCs/>
          <w:sz w:val="28"/>
          <w:szCs w:val="28"/>
        </w:rPr>
        <w:t>r</w:t>
      </w:r>
      <w:r>
        <w:rPr>
          <w:rFonts w:cs="Tahoma" w:ascii="Tahoma" w:hAnsi="Tahoma"/>
          <w:sz w:val="28"/>
          <w:szCs w:val="28"/>
          <w:vertAlign w:val="subscript"/>
        </w:rPr>
        <w:t>e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са приложими при антенни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устройства за по-добро излъчване. По принцип характеристиките на материала за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i/>
          <w:i/>
          <w:iCs/>
          <w:sz w:val="28"/>
          <w:szCs w:val="28"/>
        </w:rPr>
      </w:pPr>
      <w:r>
        <w:rPr>
          <w:rFonts w:cs="Tahoma" w:ascii="Tahoma" w:hAnsi="Tahoma"/>
          <w:sz w:val="28"/>
          <w:szCs w:val="28"/>
        </w:rPr>
        <w:t xml:space="preserve">диелектрична подложка (диелектрична </w:t>
      </w:r>
      <w:r>
        <w:rPr>
          <w:rFonts w:cs="Tahoma" w:ascii="Tahoma" w:hAnsi="Tahoma"/>
          <w:i/>
          <w:iCs/>
          <w:sz w:val="28"/>
          <w:szCs w:val="28"/>
        </w:rPr>
        <w:t>r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</w:rPr>
      </w:pPr>
      <w:r>
        <w:rPr>
          <w:rFonts w:cs="Tahoma" w:ascii="Tahoma" w:hAnsi="Tahoma"/>
          <w:sz w:val="28"/>
          <w:szCs w:val="28"/>
        </w:rPr>
        <w:t>e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 xml:space="preserve">и магнитна проницаемост </w:t>
      </w:r>
      <w:r>
        <w:rPr>
          <w:rFonts w:cs="Tahoma" w:ascii="Tahoma" w:hAnsi="Tahoma"/>
          <w:i/>
          <w:iCs/>
          <w:sz w:val="28"/>
          <w:szCs w:val="28"/>
        </w:rPr>
        <w:t>r</w:t>
      </w:r>
      <w:r>
        <w:rPr>
          <w:rFonts w:cs="Tahoma" w:ascii="Tahoma" w:hAnsi="Tahoma"/>
          <w:i/>
          <w:iCs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m ) трябва да са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хомогенни (независими от положението) и изотропни (независими от посоката на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разпространение на вълната) и с малка честотна дисперсия. Ъгълът на загубите също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трябва да е малък, за да се намали загубата на енергия в диелектрика. Тези параметри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</w:rPr>
      </w:pPr>
      <w:r>
        <w:rPr>
          <w:rFonts w:cs="Tahoma" w:ascii="Tahoma" w:hAnsi="Tahoma"/>
          <w:sz w:val="28"/>
          <w:szCs w:val="28"/>
        </w:rPr>
        <w:t>трябва имат малка промяна с температурата , за да осигурят стабилни параметри на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апаратурата. Температурната проводимост на подложката трябва да бъде голяма, за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</w:rPr>
        <w:t>доброто топлоотвеждане от мощни транзистори, атенюатори и товари при мощни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устройства. При високи мощности е необходимо и високо пробивно напрежение на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подложката. Коефициентът на температурно разширение на диелектричния материал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трябва да е приблизително равен този на проводника, за да реагира микролентоваталиния еднакво на температурните промени и да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 xml:space="preserve"> подобри надеждността на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устройството. Диелектричният материал трябва да позволява лесно пробиване, рязане,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ецване, отлагане на метал, за да има ниски разходи за производство и добра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технологичност. От особена важност е и добрата адхезия с металите,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за да се намалят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загубите от проводимост.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Микролентовата линия е несиметрична предавателна линия, която включва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двустранно метализирана диелектрична подложка и въздух над нея.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Електромагнитното поле е разположено както в диелектрика, така и във въздуха.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Вълните, които се разпространяват по линията не са чисти ТЕМ, Н или Е вълни, 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хибридни типове съдържащи електрическо и магнитно поле както в напречна, така и в__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надлъжна посока. Това може да причини неудобства при проектирането и анализа на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микролентови устройства. За повечето практически случаи обаче основният мод в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микролентовата линия е близък до ТЕМ вълна.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/>
        <w:drawing>
          <wp:inline distT="0" distB="0" distL="0" distR="0">
            <wp:extent cx="4895850" cy="1543050"/>
            <wp:effectExtent l="0" t="0" r="0" b="0"/>
            <wp:docPr id="2" name="Picture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0" descr="1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</w:rPr>
        <w:t>Поради тази причина се приема, че основният мод в микролентовата линия е квази-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ТЕМ вълна. Това създава проблеми при много високи честоти. В милиметровия обхват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омичите загуби и загубите в диелектрика нарастват значително. Започват да се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разпространяват или излъчват повърхностни вълни или висши типове вълни. Те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възникват благодарение на нееднородностите в топологията на схемата. Загубите в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проводника и диелектрика, както и излъчването намаляват амплитудата на сигнала по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линията създават предпоставка за паразитна връзка между съседни части на схемата.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От друга страна едновременното разпространение на няколко мода с различни скорости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води до смущаване на сигнала. Затова при много високи честоти за анализ и синтез на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микролентови линии се използват полуемпирични формули.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Ако приемем, че по микролентовата линия се разпространява ТЕМ вълна, то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характеристичният импеданс се определя по формулата: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</w:rPr>
      </w:pPr>
      <w:r>
        <w:rPr/>
        <w:drawing>
          <wp:inline distT="0" distB="0" distL="0" distR="0">
            <wp:extent cx="1828800" cy="752475"/>
            <wp:effectExtent l="0" t="0" r="0" b="0"/>
            <wp:docPr id="3" name="Image2" descr="for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 descr="form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</w:rPr>
      </w:pPr>
      <w:r>
        <w:rPr>
          <w:rFonts w:cs="Tahoma" w:ascii="Tahoma" w:hAnsi="Tahoma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</w:rPr>
        <w:t>Когато подложката на микролентовата линия се замени с въздух, ще имаме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въздушна предавателна линия, при която вълната ще се разпространява със скоростта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cs="Tahoma" w:ascii="Tahoma" w:hAnsi="Tahoma"/>
          <w:sz w:val="28"/>
          <w:szCs w:val="28"/>
        </w:rPr>
        <w:t>на светлината. Характеристичният импеданс тогава се определя по израза: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/>
        <w:drawing>
          <wp:inline distT="0" distB="0" distL="0" distR="0">
            <wp:extent cx="1638300" cy="685800"/>
            <wp:effectExtent l="0" t="0" r="0" b="0"/>
            <wp:docPr id="4" name="Picture 3" descr="for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form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</w:rPr>
      </w:pPr>
      <w:r>
        <w:rPr>
          <w:rFonts w:cs="Tahoma" w:ascii="Tahoma" w:hAnsi="Tahoma"/>
          <w:sz w:val="28"/>
          <w:szCs w:val="28"/>
        </w:rPr>
        <w:t>Обединявайки двете уравнения се достига до израза: 0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  <w:lang w:val="en-US"/>
        </w:rPr>
      </w:pPr>
      <w:r>
        <w:rPr/>
        <w:drawing>
          <wp:inline distT="0" distB="0" distL="0" distR="0">
            <wp:extent cx="1352550" cy="657225"/>
            <wp:effectExtent l="0" t="0" r="0" b="0"/>
            <wp:docPr id="5" name="Picture 4" descr="for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form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8"/>
          <w:szCs w:val="28"/>
        </w:rPr>
      </w:pPr>
      <w:r>
        <w:rPr>
          <w:rFonts w:cs="Tahoma" w:ascii="Tahoma" w:hAnsi="Tahoma"/>
          <w:sz w:val="28"/>
          <w:szCs w:val="28"/>
        </w:rPr>
        <w:t xml:space="preserve">Фазовата константа се определя от израза: </w:t>
      </w:r>
    </w:p>
    <w:p>
      <w:pPr>
        <w:pStyle w:val="Normal"/>
        <w:jc w:val="both"/>
        <w:rPr>
          <w:rFonts w:ascii="Tahoma" w:hAnsi="Tahoma" w:cs="Tahoma"/>
          <w:sz w:val="28"/>
          <w:szCs w:val="28"/>
          <w:lang w:val="en-US"/>
        </w:rPr>
      </w:pPr>
      <w:r>
        <w:rPr/>
        <w:drawing>
          <wp:inline distT="0" distB="0" distL="0" distR="0">
            <wp:extent cx="2895600" cy="657225"/>
            <wp:effectExtent l="0" t="0" r="0" b="0"/>
            <wp:docPr id="6" name="Picture 5" descr="form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form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rFonts w:ascii="Tahoma" w:hAnsi="Tahoma" w:eastAsia="TimesNewRoman" w:cs="Tahoma"/>
          <w:sz w:val="28"/>
          <w:szCs w:val="28"/>
          <w:lang w:val="en-US"/>
        </w:rPr>
      </w:pPr>
      <w:r>
        <w:rPr>
          <w:rFonts w:cs="Tahoma" w:ascii="Tahoma" w:hAnsi="Tahoma"/>
          <w:sz w:val="28"/>
          <w:szCs w:val="28"/>
        </w:rPr>
        <w:t>Където β</w:t>
      </w:r>
      <w:r>
        <w:rPr>
          <w:rFonts w:cs="Tahoma" w:ascii="Tahoma" w:hAnsi="Tahoma"/>
          <w:sz w:val="28"/>
          <w:szCs w:val="28"/>
          <w:vertAlign w:val="subscript"/>
        </w:rPr>
        <w:t xml:space="preserve">0 </w:t>
      </w:r>
      <w:r>
        <w:rPr>
          <w:rFonts w:cs="Tahoma" w:ascii="Tahoma" w:hAnsi="Tahoma"/>
          <w:sz w:val="28"/>
          <w:szCs w:val="28"/>
        </w:rPr>
        <w:t>е фазовата константа в свободното пространство. Нормираната фазова</w:t>
      </w:r>
      <w:r>
        <w:rPr>
          <w:rFonts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>константа е:</w:t>
      </w:r>
    </w:p>
    <w:p>
      <w:pPr>
        <w:pStyle w:val="Normal"/>
        <w:jc w:val="both"/>
        <w:rPr>
          <w:rFonts w:ascii="Tahoma" w:hAnsi="Tahoma" w:eastAsia="TimesNewRoman" w:cs="Tahoma"/>
          <w:sz w:val="28"/>
          <w:szCs w:val="28"/>
          <w:lang w:val="en-US"/>
        </w:rPr>
      </w:pPr>
      <w:r>
        <w:rPr>
          <w:rFonts w:eastAsia="TimesNewRoman" w:cs="Tahoma" w:ascii="Tahoma" w:hAnsi="Tahoma"/>
          <w:sz w:val="28"/>
          <w:szCs w:val="28"/>
        </w:rPr>
        <w:t xml:space="preserve"> </w:t>
      </w:r>
      <w:r>
        <w:rPr/>
        <w:drawing>
          <wp:inline distT="0" distB="0" distL="0" distR="0">
            <wp:extent cx="1504950" cy="714375"/>
            <wp:effectExtent l="0" t="0" r="0" b="0"/>
            <wp:docPr id="7" name="Picture 6" descr="for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form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rFonts w:ascii="Tahoma" w:hAnsi="Tahoma" w:eastAsia="TimesNewRoman" w:cs="Tahoma"/>
          <w:sz w:val="28"/>
          <w:szCs w:val="28"/>
        </w:rPr>
      </w:pPr>
      <w:r>
        <w:rPr>
          <w:rFonts w:eastAsia="TimesNewRoman" w:cs="Tahoma" w:ascii="Tahoma" w:hAnsi="Tahoma"/>
          <w:sz w:val="28"/>
          <w:szCs w:val="28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 xml:space="preserve">, където 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 </w:t>
      </w:r>
      <w:r>
        <w:rPr/>
        <w:drawing>
          <wp:inline distT="0" distB="0" distL="0" distR="0">
            <wp:extent cx="571500" cy="295275"/>
            <wp:effectExtent l="0" t="0" r="0" b="0"/>
            <wp:docPr id="8" name="Picture 7" descr="form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form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 </w:t>
      </w:r>
      <w:r>
        <w:rPr>
          <w:rFonts w:eastAsia="TimesNewRoman" w:cs="Tahoma" w:ascii="Tahoma" w:hAnsi="Tahoma"/>
          <w:sz w:val="28"/>
          <w:szCs w:val="28"/>
        </w:rPr>
        <w:t>са дължините на вълната в свободното</w:t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  <w:lang w:val="en-US"/>
        </w:rPr>
      </w:pPr>
      <w:r>
        <w:rPr>
          <w:rFonts w:eastAsia="TimesNewRoman" w:cs="Tahoma" w:ascii="Tahoma" w:hAnsi="Tahoma"/>
          <w:sz w:val="28"/>
          <w:szCs w:val="28"/>
        </w:rPr>
        <w:t>пространство и в микролентовата линия.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>Тези уравнения показват, че характеристичният импеданс и фазовата константа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>могат да се определят ако се изчисли капацитетът на единица дължина на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>микролентова линия с и без наличието на диелектрична подложка.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 xml:space="preserve">Ефективната диелектрична проницаемост </w:t>
      </w:r>
      <w:r>
        <w:rPr>
          <w:rFonts w:eastAsia="TimesNewRoman" w:cs="Tahoma" w:ascii="Tahoma" w:hAnsi="Tahoma"/>
          <w:i/>
          <w:iCs/>
          <w:sz w:val="28"/>
          <w:szCs w:val="28"/>
        </w:rPr>
        <w:t xml:space="preserve">reff </w:t>
      </w:r>
      <w:r>
        <w:rPr>
          <w:rFonts w:eastAsia="TimesNewRoman" w:cs="Tahoma" w:ascii="Tahoma" w:hAnsi="Tahoma"/>
          <w:sz w:val="28"/>
          <w:szCs w:val="28"/>
        </w:rPr>
        <w:t>e се дефинира като отношение на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>тези два капацитета:</w:t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  <w:lang w:val="en-US"/>
        </w:rPr>
      </w:pPr>
      <w:r>
        <w:rPr/>
        <w:drawing>
          <wp:inline distT="0" distB="0" distL="0" distR="0">
            <wp:extent cx="800100" cy="514350"/>
            <wp:effectExtent l="0" t="0" r="0" b="0"/>
            <wp:docPr id="9" name="Picture 8" descr="form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form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  <w:lang w:val="en-US"/>
        </w:rPr>
      </w:pP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>От тук следва, че</w:t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</w:rPr>
      </w:pPr>
      <w:r>
        <w:rPr/>
        <w:drawing>
          <wp:inline distT="0" distB="0" distL="0" distR="0">
            <wp:extent cx="1990725" cy="533400"/>
            <wp:effectExtent l="0" t="0" r="0" b="0"/>
            <wp:docPr id="10" name="Picture 9" descr="form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form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  <w:lang w:val="en-US"/>
        </w:rPr>
      </w:pPr>
      <w:r>
        <w:rPr>
          <w:rFonts w:eastAsia="TimesNewRoman" w:cs="Tahoma" w:ascii="Tahoma" w:hAnsi="Tahoma"/>
          <w:sz w:val="28"/>
          <w:szCs w:val="28"/>
        </w:rPr>
        <w:t>Ефективната диелектрична проницаемост има физическия смисъл, че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>несиметричната микролентова линия се заменя с еквивалентна симетрична линия с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>проводници имащи същите размери (w, h, t), но заобиколена с един диелектрик с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 xml:space="preserve">диелектрична проницаемост </w:t>
      </w:r>
      <w:r>
        <w:rPr>
          <w:rFonts w:eastAsia="TimesNewRoman" w:cs="Tahoma" w:ascii="Tahoma" w:hAnsi="Tahoma"/>
          <w:i/>
          <w:iCs/>
          <w:sz w:val="28"/>
          <w:szCs w:val="28"/>
        </w:rPr>
        <w:t xml:space="preserve">reff </w:t>
      </w:r>
      <w:r>
        <w:rPr>
          <w:rFonts w:eastAsia="TimesNewRoman" w:cs="Tahoma" w:ascii="Tahoma" w:hAnsi="Tahoma"/>
          <w:sz w:val="28"/>
          <w:szCs w:val="28"/>
        </w:rPr>
        <w:t>e . Лесно може да се покаже, че дължината на вълната в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>линията се намалява с квадратен корен от ефективната диелектрична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>проницаемост</w:t>
      </w:r>
      <w:r>
        <w:rPr>
          <w:rFonts w:eastAsia="TimesNewRoman" w:cs="Tahoma" w:ascii="Tahoma" w:hAnsi="Tahoma"/>
          <w:sz w:val="28"/>
          <w:szCs w:val="28"/>
          <w:lang w:val="en-US"/>
        </w:rPr>
        <w:t xml:space="preserve"> </w:t>
      </w:r>
      <w:r>
        <w:rPr>
          <w:rFonts w:eastAsia="TimesNewRoman" w:cs="Tahoma" w:ascii="Tahoma" w:hAnsi="Tahoma"/>
          <w:sz w:val="28"/>
          <w:szCs w:val="28"/>
        </w:rPr>
        <w:t xml:space="preserve">спрямо дължината на вълната в свободното пространство: </w:t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  <w:lang w:val="en-US"/>
        </w:rPr>
      </w:pPr>
      <w:r>
        <w:rPr/>
        <w:drawing>
          <wp:inline distT="0" distB="0" distL="0" distR="0">
            <wp:extent cx="1057275" cy="590550"/>
            <wp:effectExtent l="0" t="0" r="0" b="0"/>
            <wp:docPr id="11" name="Picture 10" descr="for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 descr="form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</w:rPr>
      </w:pPr>
      <w:r>
        <w:rPr>
          <w:rFonts w:eastAsia="TimesNewRoman" w:cs="Tahoma" w:ascii="Tahoma" w:hAnsi="Tahoma"/>
          <w:sz w:val="28"/>
          <w:szCs w:val="28"/>
        </w:rPr>
        <w:t>Могат да се формулират две основни задачи за анализ и синтез на микролентова линия.</w:t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</w:rPr>
      </w:pPr>
      <w:r>
        <w:rPr>
          <w:rFonts w:eastAsia="TimesNewRoman" w:cs="Tahoma" w:ascii="Tahoma" w:hAnsi="Tahoma"/>
          <w:sz w:val="28"/>
          <w:szCs w:val="28"/>
        </w:rPr>
        <w:t xml:space="preserve">1. Зададени са геометричните параметри на микролентовата линия и характеристиките на подложката (w, h, t, </w:t>
      </w:r>
      <w:r>
        <w:rPr>
          <w:rFonts w:eastAsia="TimesNewRoman" w:cs="Tahoma" w:ascii="Tahoma" w:hAnsi="Tahoma"/>
          <w:i/>
          <w:iCs/>
          <w:sz w:val="28"/>
          <w:szCs w:val="28"/>
        </w:rPr>
        <w:t xml:space="preserve">r, </w:t>
      </w:r>
      <w:r>
        <w:rPr>
          <w:rFonts w:eastAsia="TimesNewRoman" w:cs="Tahoma" w:ascii="Tahoma" w:hAnsi="Tahoma"/>
          <w:sz w:val="28"/>
          <w:szCs w:val="28"/>
        </w:rPr>
        <w:t>e ). Провеждаме анализ за да определим електрическите параметри в</w:t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  <w:lang w:val="en-US"/>
        </w:rPr>
      </w:pPr>
      <w:r>
        <w:rPr/>
        <w:drawing>
          <wp:inline distT="0" distB="0" distL="0" distR="0">
            <wp:extent cx="1076325" cy="361950"/>
            <wp:effectExtent l="0" t="0" r="0" b="0"/>
            <wp:docPr id="12" name="Picture 11" descr="form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 descr="form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NewRoman" w:cs="Tahoma" w:ascii="Tahoma" w:hAnsi="Tahoma"/>
          <w:sz w:val="28"/>
          <w:szCs w:val="28"/>
        </w:rPr>
        <w:t>Ефективната диелектрична проницаемост се определя по израза:</w:t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  <w:lang w:val="en-US"/>
        </w:rPr>
      </w:pPr>
      <w:r>
        <w:rPr/>
        <w:drawing>
          <wp:inline distT="0" distB="0" distL="0" distR="0">
            <wp:extent cx="5457825" cy="3876675"/>
            <wp:effectExtent l="0" t="0" r="0" b="0"/>
            <wp:docPr id="13" name="Picture 12" descr="form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 descr="form1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  <w:lang w:val="en-US"/>
        </w:rPr>
      </w:pPr>
      <w:r>
        <w:rPr/>
        <w:drawing>
          <wp:inline distT="0" distB="0" distL="0" distR="0">
            <wp:extent cx="3733800" cy="990600"/>
            <wp:effectExtent l="0" t="0" r="0" b="0"/>
            <wp:docPr id="14" name="Picture 13" descr="form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 descr="form12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  <w:lang w:val="en-US"/>
        </w:rPr>
      </w:pPr>
      <w:r>
        <w:rPr>
          <w:rFonts w:eastAsia="TimesNewRoman" w:cs="Tahoma" w:ascii="Tahoma" w:hAnsi="Tahoma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</w:rPr>
      </w:pPr>
      <w:r>
        <w:rPr>
          <w:rFonts w:eastAsia="TimesNewRoman" w:cs="Tahoma" w:ascii="Tahoma" w:hAnsi="Tahoma"/>
          <w:sz w:val="28"/>
          <w:szCs w:val="28"/>
        </w:rPr>
        <w:t>Повечето микролентови устройства са поставени в метални кутии за механична здравина</w:t>
      </w:r>
      <w:r>
        <w:rPr>
          <w:rFonts w:cs="Tahoma" w:ascii="Tahoma" w:hAnsi="Tahoma"/>
          <w:sz w:val="28"/>
          <w:szCs w:val="28"/>
        </w:rPr>
        <w:t xml:space="preserve">, </w:t>
      </w:r>
      <w:r>
        <w:rPr>
          <w:rFonts w:eastAsia="TimesNewRoman" w:cs="Tahoma" w:ascii="Tahoma" w:hAnsi="Tahoma"/>
          <w:sz w:val="28"/>
          <w:szCs w:val="28"/>
        </w:rPr>
        <w:t>херметизация</w:t>
      </w:r>
      <w:r>
        <w:rPr>
          <w:rFonts w:cs="Tahoma" w:ascii="Tahoma" w:hAnsi="Tahoma"/>
          <w:sz w:val="28"/>
          <w:szCs w:val="28"/>
        </w:rPr>
        <w:t xml:space="preserve">, </w:t>
      </w:r>
      <w:r>
        <w:rPr>
          <w:rFonts w:eastAsia="TimesNewRoman" w:cs="Tahoma" w:ascii="Tahoma" w:hAnsi="Tahoma"/>
          <w:sz w:val="28"/>
          <w:szCs w:val="28"/>
        </w:rPr>
        <w:t>електромагнитно екраниране</w:t>
      </w:r>
      <w:r>
        <w:rPr>
          <w:rFonts w:cs="Tahoma" w:ascii="Tahoma" w:hAnsi="Tahoma"/>
          <w:sz w:val="28"/>
          <w:szCs w:val="28"/>
        </w:rPr>
        <w:t xml:space="preserve">, </w:t>
      </w:r>
      <w:r>
        <w:rPr>
          <w:rFonts w:eastAsia="TimesNewRoman" w:cs="Tahoma" w:ascii="Tahoma" w:hAnsi="Tahoma"/>
          <w:sz w:val="28"/>
          <w:szCs w:val="28"/>
        </w:rPr>
        <w:t>монтиране на конектори и лесно пренасяне</w:t>
      </w:r>
      <w:r>
        <w:rPr>
          <w:rFonts w:cs="Tahoma" w:ascii="Tahoma" w:hAnsi="Tahoma"/>
          <w:sz w:val="28"/>
          <w:szCs w:val="28"/>
        </w:rPr>
        <w:t xml:space="preserve">. </w:t>
      </w:r>
      <w:r>
        <w:rPr>
          <w:rFonts w:eastAsia="TimesNewRoman" w:cs="Tahoma" w:ascii="Tahoma" w:hAnsi="Tahoma"/>
          <w:sz w:val="28"/>
          <w:szCs w:val="28"/>
        </w:rPr>
        <w:t>Тъй като електромагнитното поле по ръбовете на линията се затваря през стените на металната кутия</w:t>
      </w:r>
      <w:r>
        <w:rPr>
          <w:rFonts w:cs="Tahoma" w:ascii="Tahoma" w:hAnsi="Tahoma"/>
          <w:sz w:val="28"/>
          <w:szCs w:val="28"/>
        </w:rPr>
        <w:t xml:space="preserve">. </w:t>
      </w:r>
      <w:r>
        <w:rPr>
          <w:rFonts w:eastAsia="TimesNewRoman" w:cs="Tahoma" w:ascii="Tahoma" w:hAnsi="Tahoma"/>
          <w:sz w:val="28"/>
          <w:szCs w:val="28"/>
        </w:rPr>
        <w:t>Когато горния капак и околните стени са близко</w:t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</w:rPr>
      </w:pPr>
      <w:r>
        <w:rPr>
          <w:rFonts w:eastAsia="TimesNewRoman" w:cs="Tahoma" w:ascii="Tahoma" w:hAnsi="Tahoma"/>
          <w:sz w:val="28"/>
          <w:szCs w:val="28"/>
        </w:rPr>
        <w:t>разположени до микролентовата линия</w:t>
      </w:r>
      <w:r>
        <w:rPr>
          <w:rFonts w:cs="Tahoma" w:ascii="Tahoma" w:hAnsi="Tahoma"/>
          <w:sz w:val="28"/>
          <w:szCs w:val="28"/>
        </w:rPr>
        <w:t xml:space="preserve">, </w:t>
      </w:r>
      <w:r>
        <w:rPr>
          <w:rFonts w:eastAsia="TimesNewRoman" w:cs="Tahoma" w:ascii="Tahoma" w:hAnsi="Tahoma"/>
          <w:sz w:val="28"/>
          <w:szCs w:val="28"/>
        </w:rPr>
        <w:t>нейните параметри силно се влияят от положението им</w:t>
      </w:r>
      <w:r>
        <w:rPr>
          <w:rFonts w:cs="Tahoma" w:ascii="Tahoma" w:hAnsi="Tahoma"/>
          <w:sz w:val="28"/>
          <w:szCs w:val="28"/>
        </w:rPr>
        <w:t xml:space="preserve">. </w:t>
      </w:r>
      <w:r>
        <w:rPr>
          <w:rFonts w:eastAsia="TimesNewRoman" w:cs="Tahoma" w:ascii="Tahoma" w:hAnsi="Tahoma"/>
          <w:sz w:val="28"/>
          <w:szCs w:val="28"/>
        </w:rPr>
        <w:t>Ефектът от близкото разполагане на капака и околните стени се</w:t>
      </w:r>
    </w:p>
    <w:p>
      <w:pPr>
        <w:pStyle w:val="Normal"/>
        <w:spacing w:lineRule="auto" w:line="240" w:before="0" w:after="0"/>
        <w:rPr>
          <w:rFonts w:ascii="Tahoma" w:hAnsi="Tahoma" w:eastAsia="TimesNewRoman" w:cs="Tahoma"/>
          <w:sz w:val="28"/>
          <w:szCs w:val="28"/>
        </w:rPr>
      </w:pPr>
      <w:r>
        <w:rPr>
          <w:rFonts w:eastAsia="TimesNewRoman" w:cs="Tahoma" w:ascii="Tahoma" w:hAnsi="Tahoma"/>
          <w:sz w:val="28"/>
          <w:szCs w:val="28"/>
        </w:rPr>
        <w:t>изразява в намаление на ефективната диелектрична проницаемост и характеристичния импеданс на микролентовата линия</w:t>
      </w:r>
      <w:r>
        <w:rPr>
          <w:rFonts w:cs="Tahoma" w:ascii="Tahoma" w:hAnsi="Tahoma"/>
          <w:sz w:val="28"/>
          <w:szCs w:val="28"/>
        </w:rPr>
        <w:t xml:space="preserve">. </w:t>
      </w:r>
      <w:r>
        <w:rPr>
          <w:rFonts w:eastAsia="TimesNewRoman" w:cs="Tahoma" w:ascii="Tahoma" w:hAnsi="Tahoma"/>
          <w:sz w:val="28"/>
          <w:szCs w:val="28"/>
        </w:rPr>
        <w:t xml:space="preserve">Препоръчително е разстоянието до горния капак да е поне </w:t>
      </w:r>
      <w:r>
        <w:rPr>
          <w:rFonts w:cs="Tahoma" w:ascii="Tahoma" w:hAnsi="Tahoma"/>
          <w:b/>
          <w:bCs/>
          <w:sz w:val="28"/>
          <w:szCs w:val="28"/>
        </w:rPr>
        <w:t xml:space="preserve">10 </w:t>
      </w:r>
      <w:r>
        <w:rPr>
          <w:rFonts w:eastAsia="TimesNewRoman" w:cs="Tahoma" w:ascii="Tahoma" w:hAnsi="Tahoma"/>
          <w:sz w:val="28"/>
          <w:szCs w:val="28"/>
        </w:rPr>
        <w:t>пъти по</w:t>
      </w:r>
      <w:r>
        <w:rPr>
          <w:rFonts w:cs="Tahoma" w:ascii="Tahoma" w:hAnsi="Tahoma"/>
          <w:b/>
          <w:bCs/>
          <w:sz w:val="28"/>
          <w:szCs w:val="28"/>
        </w:rPr>
        <w:t>-</w:t>
      </w:r>
      <w:r>
        <w:rPr>
          <w:rFonts w:eastAsia="TimesNewRoman" w:cs="Tahoma" w:ascii="Tahoma" w:hAnsi="Tahoma"/>
          <w:sz w:val="28"/>
          <w:szCs w:val="28"/>
        </w:rPr>
        <w:t>голямо от дебелината на подложката</w:t>
      </w:r>
      <w:r>
        <w:rPr>
          <w:rFonts w:cs="Tahoma" w:ascii="Tahoma" w:hAnsi="Tahoma"/>
          <w:sz w:val="28"/>
          <w:szCs w:val="28"/>
        </w:rPr>
        <w:t xml:space="preserve">. </w:t>
      </w:r>
      <w:r>
        <w:rPr>
          <w:rFonts w:eastAsia="TimesNewRoman" w:cs="Tahoma" w:ascii="Tahoma" w:hAnsi="Tahoma"/>
          <w:sz w:val="28"/>
          <w:szCs w:val="28"/>
        </w:rPr>
        <w:t xml:space="preserve">Металната </w:t>
      </w:r>
      <w:r>
        <w:rPr>
          <w:rFonts w:cs="Tahoma" w:ascii="Tahoma" w:hAnsi="Tahoma"/>
          <w:sz w:val="28"/>
          <w:szCs w:val="28"/>
        </w:rPr>
        <w:t xml:space="preserve">кутия представлява микровълнов резонатор, </w:t>
      </w:r>
      <w:r>
        <w:rPr>
          <w:rFonts w:eastAsia="TimesNewRoman" w:cs="Tahoma" w:ascii="Tahoma" w:hAnsi="Tahoma"/>
          <w:sz w:val="28"/>
          <w:szCs w:val="28"/>
        </w:rPr>
        <w:t>който резонира на определени честоти и моди</w:t>
      </w:r>
      <w:r>
        <w:rPr>
          <w:rFonts w:cs="Tahoma" w:ascii="Tahoma" w:hAnsi="Tahoma"/>
          <w:sz w:val="28"/>
          <w:szCs w:val="28"/>
        </w:rPr>
        <w:t xml:space="preserve">. </w:t>
      </w:r>
      <w:r>
        <w:rPr>
          <w:rFonts w:eastAsia="TimesNewRoman" w:cs="Tahoma" w:ascii="Tahoma" w:hAnsi="Tahoma"/>
          <w:sz w:val="28"/>
          <w:szCs w:val="28"/>
        </w:rPr>
        <w:t>Размерите на кутията трябва да се подбират внимателно</w:t>
      </w:r>
      <w:r>
        <w:rPr>
          <w:rFonts w:cs="Tahoma" w:ascii="Tahoma" w:hAnsi="Tahoma"/>
          <w:sz w:val="28"/>
          <w:szCs w:val="28"/>
        </w:rPr>
        <w:t xml:space="preserve">, </w:t>
      </w:r>
      <w:r>
        <w:rPr>
          <w:rFonts w:eastAsia="TimesNewRoman" w:cs="Tahoma" w:ascii="Tahoma" w:hAnsi="Tahoma"/>
          <w:sz w:val="28"/>
          <w:szCs w:val="28"/>
        </w:rPr>
        <w:t>така че честотата на сигнала да не съвпада с тези резонансни честоти</w:t>
      </w:r>
      <w:r>
        <w:rPr>
          <w:rFonts w:cs="Tahoma" w:ascii="Tahoma" w:hAnsi="Tahoma"/>
          <w:sz w:val="28"/>
          <w:szCs w:val="28"/>
        </w:rPr>
        <w:t xml:space="preserve">. </w:t>
      </w:r>
      <w:r>
        <w:rPr>
          <w:rFonts w:eastAsia="TimesNewRoman" w:cs="Tahoma" w:ascii="Tahoma" w:hAnsi="Tahoma"/>
          <w:sz w:val="28"/>
          <w:szCs w:val="28"/>
        </w:rPr>
        <w:t>Когато това не може да бъде направено се поставя поглъщащ материал на подходящи места в кутията</w:t>
      </w:r>
      <w:r>
        <w:rPr>
          <w:rFonts w:cs="Tahoma" w:ascii="Tahoma" w:hAnsi="Tahoma"/>
          <w:sz w:val="28"/>
          <w:szCs w:val="28"/>
        </w:rPr>
        <w:t xml:space="preserve">. </w:t>
      </w:r>
      <w:r>
        <w:rPr>
          <w:rFonts w:eastAsia="TimesNewRoman" w:cs="Tahoma" w:ascii="Tahoma" w:hAnsi="Tahoma"/>
          <w:sz w:val="28"/>
          <w:szCs w:val="28"/>
        </w:rPr>
        <w:t>Затихване в микролентовата линия</w:t>
      </w:r>
      <w:r>
        <w:rPr>
          <w:rFonts w:cs="Tahoma" w:ascii="Tahoma" w:hAnsi="Tahoma"/>
          <w:b/>
          <w:bCs/>
          <w:sz w:val="28"/>
          <w:szCs w:val="28"/>
        </w:rPr>
        <w:t xml:space="preserve">. </w:t>
      </w:r>
      <w:r>
        <w:rPr>
          <w:rFonts w:eastAsia="TimesNewRoman" w:cs="Tahoma" w:ascii="Tahoma" w:hAnsi="Tahoma"/>
          <w:sz w:val="28"/>
          <w:szCs w:val="28"/>
        </w:rPr>
        <w:t>Константата на затихване на предавателна линия е отношението на загубната мощност на единица дължина и предадената мощност като математически се дефинира</w:t>
      </w:r>
    </w:p>
    <w:p>
      <w:pPr>
        <w:pStyle w:val="Normal"/>
        <w:spacing w:before="0" w:after="20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eastAsia="TimesNewRoman" w:cs="Tahoma" w:ascii="Tahoma" w:hAnsi="Tahoma"/>
          <w:sz w:val="28"/>
          <w:szCs w:val="28"/>
        </w:rPr>
        <w:t>чрез равенството</w:t>
      </w:r>
      <w:r>
        <w:rPr>
          <w:rFonts w:cs="Tahoma" w:ascii="Tahoma" w:hAnsi="Tahoma"/>
          <w:sz w:val="28"/>
          <w:szCs w:val="28"/>
        </w:rPr>
        <w:t>:</w:t>
      </w:r>
    </w:p>
    <w:sectPr>
      <w:footerReference w:type="default" r:id="rId16"/>
      <w:type w:val="nextPage"/>
      <w:pgSz w:w="11906" w:h="16838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Brush Script M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9247156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</w:compat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bg-BG" w:eastAsia="bg-BG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c7141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bg-BG" w:eastAsia="bg-BG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6d7d4f"/>
    <w:rPr>
      <w:rFonts w:ascii="Tahoma" w:hAnsi="Tahoma" w:cs="Tahoma"/>
      <w:sz w:val="16"/>
      <w:szCs w:val="16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rsid w:val="009872b3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9872b3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d7d4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semiHidden/>
    <w:unhideWhenUsed/>
    <w:rsid w:val="009872b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9872b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image" Target="media/image13.jpeg"/><Relationship Id="rId15" Type="http://schemas.openxmlformats.org/officeDocument/2006/relationships/image" Target="media/image14.jpeg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<Relationship Id="rId20" Type="http://schemas.openxmlformats.org/officeDocument/2006/relationships/glossaryDocument" Target="glossary/document.xml"/><Relationship Id="rId21" Type="http://schemas.openxmlformats.org/officeDocument/2006/relationships/customXml" Target="../customXml/item1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CF5229"/>
    <w:rsid w:val="00AF638B"/>
    <w:rsid w:val="00CF5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1E91185E1E47D7A7A9AA37C2B7DB93">
    <w:name w:val="1B1E91185E1E47D7A7A9AA37C2B7DB93"/>
    <w:rsid w:val="00CF5229"/>
  </w:style>
  <w:style w:type="paragraph" w:customStyle="1" w:styleId="47327484D3DB4E288A77A83C374E3332">
    <w:name w:val="47327484D3DB4E288A77A83C374E3332"/>
    <w:rsid w:val="00CF5229"/>
  </w:style>
  <w:style w:type="paragraph" w:customStyle="1" w:styleId="0BBD9212C27C4F61B5EA87D79909D3BF">
    <w:name w:val="0BBD9212C27C4F61B5EA87D79909D3BF"/>
    <w:rsid w:val="00CF522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B5D1D-ED17-453A-B793-07BACEDE7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Application>LibreOffice/7.4.3.2$Linux_X86_64 LibreOffice_project/40$Build-2</Application>
  <AppVersion>15.0000</AppVersion>
  <Pages>8</Pages>
  <Words>1031</Words>
  <Characters>6333</Characters>
  <CharactersWithSpaces>7533</CharactersWithSpaces>
  <Paragraphs>42</Paragraphs>
  <Company>Grozev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2010-12-11T16:44:00Z</dcterms:created>
  <dc:creator>Deyan Grozev</dc:creator>
  <dc:description/>
  <dc:language>en-US</dc:language>
  <cp:lastModifiedBy>Deyan Grozev</cp:lastModifiedBy>
  <dcterms:modified xsi:type="dcterms:W3CDTF">2010-12-16T21:49:00Z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